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5819" w14:textId="77777777" w:rsidR="0075262C" w:rsidRDefault="009E2C61">
      <w:pPr>
        <w:spacing w:after="0"/>
        <w:ind w:left="-1"/>
      </w:pPr>
      <w:r>
        <w:rPr>
          <w:noProof/>
        </w:rPr>
        <w:drawing>
          <wp:inline distT="0" distB="0" distL="0" distR="0" wp14:anchorId="39929D71" wp14:editId="48AED8DC">
            <wp:extent cx="2175637" cy="61404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637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         </w:t>
      </w:r>
    </w:p>
    <w:p w14:paraId="36286D8E" w14:textId="77777777" w:rsidR="0075262C" w:rsidRDefault="009E2C61">
      <w:pPr>
        <w:spacing w:after="32"/>
      </w:pPr>
      <w:r>
        <w:rPr>
          <w:rFonts w:ascii="Arial" w:eastAsia="Arial" w:hAnsi="Arial" w:cs="Arial"/>
        </w:rPr>
        <w:t xml:space="preserve"> </w:t>
      </w:r>
    </w:p>
    <w:p w14:paraId="47FFBC73" w14:textId="77777777" w:rsidR="0075262C" w:rsidRDefault="009E2C61">
      <w:pPr>
        <w:spacing w:after="0"/>
        <w:ind w:left="121"/>
        <w:jc w:val="center"/>
      </w:pPr>
      <w:r>
        <w:rPr>
          <w:rFonts w:ascii="Georgia" w:eastAsia="Georgia" w:hAnsi="Georgia" w:cs="Georgia"/>
          <w:b/>
          <w:sz w:val="24"/>
        </w:rPr>
        <w:t xml:space="preserve">HM|HC Leadership Committee (LC) - Terms of Reference  </w:t>
      </w:r>
    </w:p>
    <w:p w14:paraId="38ED55C7" w14:textId="77777777" w:rsidR="0075262C" w:rsidRDefault="009E2C61">
      <w:pPr>
        <w:spacing w:after="13"/>
      </w:pPr>
      <w:r>
        <w:rPr>
          <w:rFonts w:ascii="Georgia" w:eastAsia="Georgia" w:hAnsi="Georgia" w:cs="Georgia"/>
        </w:rPr>
        <w:t xml:space="preserve"> </w:t>
      </w:r>
    </w:p>
    <w:p w14:paraId="04009082" w14:textId="77777777" w:rsidR="0075262C" w:rsidRDefault="009E2C61" w:rsidP="00B16A2F">
      <w:pPr>
        <w:spacing w:after="61" w:line="240" w:lineRule="auto"/>
      </w:pPr>
      <w:r>
        <w:rPr>
          <w:rFonts w:ascii="Georgia" w:eastAsia="Georgia" w:hAnsi="Georgia" w:cs="Georgia"/>
        </w:rPr>
        <w:t xml:space="preserve">These terms of reference are formulated on the following assumptions: </w:t>
      </w:r>
    </w:p>
    <w:p w14:paraId="24B47D35" w14:textId="77777777" w:rsidR="0075262C" w:rsidRDefault="009E2C61" w:rsidP="00B16A2F">
      <w:pPr>
        <w:numPr>
          <w:ilvl w:val="0"/>
          <w:numId w:val="8"/>
        </w:numPr>
        <w:spacing w:after="61" w:line="240" w:lineRule="auto"/>
        <w:ind w:hanging="361"/>
      </w:pPr>
      <w:r>
        <w:rPr>
          <w:rFonts w:ascii="Georgia" w:eastAsia="Georgia" w:hAnsi="Georgia" w:cs="Georgia"/>
        </w:rPr>
        <w:t xml:space="preserve">HM|HC is a community of practice (CoP) made up of members involved in and committed to well-being related to mental health and substance use on BC campuses </w:t>
      </w:r>
    </w:p>
    <w:p w14:paraId="3B3413A6" w14:textId="77777777" w:rsidR="0075262C" w:rsidRDefault="009E2C61" w:rsidP="00B16A2F">
      <w:pPr>
        <w:numPr>
          <w:ilvl w:val="0"/>
          <w:numId w:val="8"/>
        </w:numPr>
        <w:spacing w:after="61" w:line="240" w:lineRule="auto"/>
        <w:ind w:hanging="361"/>
      </w:pPr>
      <w:r>
        <w:rPr>
          <w:rFonts w:ascii="Georgia" w:eastAsia="Georgia" w:hAnsi="Georgia" w:cs="Georgia"/>
        </w:rPr>
        <w:t xml:space="preserve">The Leadership Committee (LC), representing the CoP, sets priorities and direction for HM|HC and its future development </w:t>
      </w:r>
    </w:p>
    <w:p w14:paraId="70CB8FFE" w14:textId="77777777" w:rsidR="00D66266" w:rsidRDefault="009E2C61" w:rsidP="00B16A2F">
      <w:pPr>
        <w:numPr>
          <w:ilvl w:val="0"/>
          <w:numId w:val="8"/>
        </w:numPr>
        <w:spacing w:after="8" w:line="240" w:lineRule="auto"/>
        <w:ind w:hanging="361"/>
      </w:pPr>
      <w:r>
        <w:rPr>
          <w:rFonts w:ascii="Georgia" w:eastAsia="Georgia" w:hAnsi="Georgia" w:cs="Georgia"/>
        </w:rPr>
        <w:t>The Support Team (ST) assists the LC in implementation and administration and serves as a link to broader systems and other sectors</w:t>
      </w:r>
    </w:p>
    <w:p w14:paraId="17531506" w14:textId="77777777" w:rsidR="00D66266" w:rsidRDefault="00D66266" w:rsidP="00D66266">
      <w:pPr>
        <w:spacing w:after="8" w:line="268" w:lineRule="auto"/>
        <w:rPr>
          <w:rFonts w:ascii="Georgia" w:eastAsia="Georgia" w:hAnsi="Georgia" w:cs="Georgia"/>
        </w:rPr>
      </w:pPr>
    </w:p>
    <w:tbl>
      <w:tblPr>
        <w:tblStyle w:val="TableGrid0"/>
        <w:tblW w:w="9360" w:type="dxa"/>
        <w:tblLook w:val="04A0" w:firstRow="1" w:lastRow="0" w:firstColumn="1" w:lastColumn="0" w:noHBand="0" w:noVBand="1"/>
      </w:tblPr>
      <w:tblGrid>
        <w:gridCol w:w="2016"/>
        <w:gridCol w:w="7344"/>
      </w:tblGrid>
      <w:tr w:rsidR="00A66C8C" w14:paraId="19FE5869" w14:textId="77777777" w:rsidTr="00C933B7">
        <w:tc>
          <w:tcPr>
            <w:tcW w:w="2016" w:type="dxa"/>
            <w:shd w:val="clear" w:color="auto" w:fill="44B7B9"/>
          </w:tcPr>
          <w:p w14:paraId="77EAA9BD" w14:textId="3304CBC6" w:rsidR="00D66266" w:rsidRPr="00EE3A37" w:rsidRDefault="00A66C8C" w:rsidP="00EE3A37">
            <w:pPr>
              <w:spacing w:before="60" w:after="8" w:line="269" w:lineRule="auto"/>
              <w:rPr>
                <w:rFonts w:ascii="Georgia" w:eastAsia="Georgia" w:hAnsi="Georgia" w:cs="Georgia"/>
                <w:b/>
                <w:bCs/>
                <w:sz w:val="21"/>
                <w:szCs w:val="21"/>
              </w:rPr>
            </w:pPr>
            <w:r w:rsidRPr="00EE3A37">
              <w:rPr>
                <w:rFonts w:ascii="Georgia" w:eastAsia="Georgia" w:hAnsi="Georgia" w:cs="Georgia"/>
                <w:b/>
                <w:bCs/>
                <w:color w:val="FFFFFF" w:themeColor="background1"/>
                <w:sz w:val="21"/>
                <w:szCs w:val="21"/>
              </w:rPr>
              <w:t>Purpose</w:t>
            </w:r>
          </w:p>
        </w:tc>
        <w:tc>
          <w:tcPr>
            <w:tcW w:w="7344" w:type="dxa"/>
          </w:tcPr>
          <w:p w14:paraId="0AAFFCAD" w14:textId="77777777" w:rsidR="00C933B7" w:rsidRPr="008B3113" w:rsidRDefault="00C933B7" w:rsidP="00B06ED3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 w:rsidRPr="008B3113">
              <w:rPr>
                <w:rFonts w:ascii="Georgia" w:eastAsia="Georgia" w:hAnsi="Georgia" w:cs="Georgia"/>
                <w:sz w:val="21"/>
                <w:szCs w:val="21"/>
              </w:rPr>
              <w:t xml:space="preserve">To nurture local leadership, facilitate connections and foster a sense of common community purpose among CoP members </w:t>
            </w:r>
          </w:p>
          <w:p w14:paraId="1C7D3013" w14:textId="77777777" w:rsidR="00C933B7" w:rsidRPr="008B3113" w:rsidRDefault="00C933B7" w:rsidP="00B06ED3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 w:rsidRPr="008B3113">
              <w:rPr>
                <w:rFonts w:ascii="Georgia" w:eastAsia="Georgia" w:hAnsi="Georgia" w:cs="Georgia"/>
                <w:sz w:val="21"/>
                <w:szCs w:val="21"/>
              </w:rPr>
              <w:t xml:space="preserve">To help facilitate HM|HC’s collaborative efforts across departments, post-secondary institutions, regions and with other stakeholders in BC </w:t>
            </w:r>
          </w:p>
          <w:p w14:paraId="0E8F1EC9" w14:textId="77777777" w:rsidR="00C933B7" w:rsidRPr="008B3113" w:rsidRDefault="00C933B7" w:rsidP="00B06ED3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 w:rsidRPr="008B3113">
              <w:rPr>
                <w:rFonts w:ascii="Georgia" w:eastAsia="Georgia" w:hAnsi="Georgia" w:cs="Georgia"/>
                <w:sz w:val="21"/>
                <w:szCs w:val="21"/>
              </w:rPr>
              <w:t>To help ensure that HM|HC remains grounded in principles of equity, diversity, empowerment and capacity-building</w:t>
            </w:r>
          </w:p>
          <w:p w14:paraId="007EC2A8" w14:textId="76E76B89" w:rsidR="00D66266" w:rsidRPr="007A59C7" w:rsidRDefault="00C933B7" w:rsidP="00B06ED3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 w:rsidRPr="008B3113">
              <w:rPr>
                <w:rFonts w:ascii="Georgia" w:eastAsia="Georgia" w:hAnsi="Georgia" w:cs="Georgia"/>
                <w:sz w:val="21"/>
                <w:szCs w:val="21"/>
              </w:rPr>
              <w:t>To provide direction and support to the ST</w:t>
            </w:r>
          </w:p>
        </w:tc>
      </w:tr>
      <w:tr w:rsidR="00A66C8C" w14:paraId="656106A5" w14:textId="77777777" w:rsidTr="00C933B7">
        <w:tc>
          <w:tcPr>
            <w:tcW w:w="2016" w:type="dxa"/>
            <w:shd w:val="clear" w:color="auto" w:fill="44B7B9"/>
          </w:tcPr>
          <w:p w14:paraId="4D928285" w14:textId="5A860F5E" w:rsidR="00D66266" w:rsidRPr="00EE3A37" w:rsidRDefault="00EE3A37" w:rsidP="00B16A2F">
            <w:pPr>
              <w:spacing w:before="60" w:after="8" w:line="269" w:lineRule="auto"/>
              <w:rPr>
                <w:rFonts w:ascii="Georgia" w:eastAsia="Georgia" w:hAnsi="Georgia" w:cs="Georgia"/>
                <w:b/>
                <w:bCs/>
                <w:sz w:val="21"/>
                <w:szCs w:val="21"/>
              </w:rPr>
            </w:pPr>
            <w:r w:rsidRPr="00EE3A37">
              <w:rPr>
                <w:rFonts w:ascii="Georgia" w:eastAsia="Georgia" w:hAnsi="Georgia" w:cs="Georgia"/>
                <w:b/>
                <w:bCs/>
                <w:color w:val="FFFFFF" w:themeColor="background1"/>
                <w:sz w:val="21"/>
                <w:szCs w:val="21"/>
              </w:rPr>
              <w:t>Scope of duties</w:t>
            </w:r>
          </w:p>
        </w:tc>
        <w:tc>
          <w:tcPr>
            <w:tcW w:w="7344" w:type="dxa"/>
          </w:tcPr>
          <w:p w14:paraId="1F06D5F1" w14:textId="0CEA4E9D" w:rsidR="00EE3A37" w:rsidRPr="008B3113" w:rsidRDefault="00EE3A37" w:rsidP="00EE3A37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</w:rPr>
              <w:t>Provide high-level input on proposed community activities, especially related to learning events and health literacy resources, student engagement, and Okanagan Charter implementation</w:t>
            </w:r>
            <w:r w:rsidRPr="008B3113">
              <w:rPr>
                <w:rFonts w:ascii="Georgia" w:eastAsia="Georgia" w:hAnsi="Georgia" w:cs="Georgia"/>
                <w:sz w:val="21"/>
                <w:szCs w:val="21"/>
              </w:rPr>
              <w:t xml:space="preserve"> </w:t>
            </w:r>
          </w:p>
          <w:p w14:paraId="644A2E5A" w14:textId="049CF83B" w:rsidR="00EE3A37" w:rsidRPr="008B3113" w:rsidRDefault="00B16A2F" w:rsidP="00EE3A37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</w:rPr>
              <w:t>Identify and share opportunities for collaboration that advance HM|HC’s provincial goals</w:t>
            </w:r>
            <w:r w:rsidR="00EE3A37" w:rsidRPr="008B3113">
              <w:rPr>
                <w:rFonts w:ascii="Georgia" w:eastAsia="Georgia" w:hAnsi="Georgia" w:cs="Georgia"/>
                <w:sz w:val="21"/>
                <w:szCs w:val="21"/>
              </w:rPr>
              <w:t xml:space="preserve"> </w:t>
            </w:r>
          </w:p>
          <w:p w14:paraId="0CE12E8E" w14:textId="0C3032EE" w:rsidR="00EE3A37" w:rsidRDefault="00B16A2F" w:rsidP="00EE3A37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</w:rPr>
              <w:t>Liaise and communicate to ensure regional concerns and local perspectives of the broader HM|HC CoP are considered</w:t>
            </w:r>
          </w:p>
          <w:p w14:paraId="08A60D83" w14:textId="6D350BC4" w:rsidR="00D66266" w:rsidRPr="00EE3A37" w:rsidRDefault="00B16A2F" w:rsidP="00EE3A37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</w:rPr>
              <w:t>Help formulate, update and evaluate periodic strategic plans</w:t>
            </w:r>
          </w:p>
        </w:tc>
      </w:tr>
      <w:tr w:rsidR="00A66C8C" w14:paraId="418FC5DC" w14:textId="77777777" w:rsidTr="00C933B7">
        <w:tc>
          <w:tcPr>
            <w:tcW w:w="2016" w:type="dxa"/>
            <w:shd w:val="clear" w:color="auto" w:fill="44B7B9"/>
          </w:tcPr>
          <w:p w14:paraId="5648E0A6" w14:textId="60EF3049" w:rsidR="00D66266" w:rsidRPr="002B161A" w:rsidRDefault="002B161A" w:rsidP="002B161A">
            <w:pPr>
              <w:spacing w:before="60" w:after="8" w:line="269" w:lineRule="auto"/>
              <w:rPr>
                <w:rFonts w:ascii="Georgia" w:eastAsia="Georgia" w:hAnsi="Georgia" w:cs="Georgia"/>
                <w:b/>
                <w:bCs/>
                <w:sz w:val="21"/>
                <w:szCs w:val="21"/>
              </w:rPr>
            </w:pPr>
            <w:r w:rsidRPr="002B161A">
              <w:rPr>
                <w:rFonts w:ascii="Georgia" w:eastAsia="Georgia" w:hAnsi="Georgia" w:cs="Georgia"/>
                <w:b/>
                <w:bCs/>
                <w:color w:val="FFFFFF" w:themeColor="background1"/>
                <w:sz w:val="21"/>
                <w:szCs w:val="21"/>
              </w:rPr>
              <w:t>Expectations</w:t>
            </w:r>
          </w:p>
        </w:tc>
        <w:tc>
          <w:tcPr>
            <w:tcW w:w="7344" w:type="dxa"/>
          </w:tcPr>
          <w:p w14:paraId="5469F90D" w14:textId="77777777" w:rsidR="002B161A" w:rsidRPr="002B161A" w:rsidRDefault="002B161A" w:rsidP="002B161A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</w:rPr>
            </w:pPr>
            <w:r>
              <w:rPr>
                <w:rFonts w:ascii="Georgia" w:eastAsia="Georgia" w:hAnsi="Georgia" w:cs="Georgia"/>
                <w:sz w:val="21"/>
              </w:rPr>
              <w:t xml:space="preserve">To be conversant with and in strong support of HM|HC’s mission and socio-ecological health promotion approach </w:t>
            </w:r>
          </w:p>
          <w:p w14:paraId="008449A8" w14:textId="77777777" w:rsidR="002B161A" w:rsidRPr="002B161A" w:rsidRDefault="002B161A" w:rsidP="002B161A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</w:rPr>
            </w:pPr>
            <w:r>
              <w:rPr>
                <w:rFonts w:ascii="Georgia" w:eastAsia="Georgia" w:hAnsi="Georgia" w:cs="Georgia"/>
                <w:sz w:val="21"/>
              </w:rPr>
              <w:t xml:space="preserve">To be a locally engaged member of the CoP  </w:t>
            </w:r>
          </w:p>
          <w:p w14:paraId="6E0A7504" w14:textId="77777777" w:rsidR="002B161A" w:rsidRPr="002B161A" w:rsidRDefault="002B161A" w:rsidP="002B161A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</w:rPr>
            </w:pPr>
            <w:r>
              <w:rPr>
                <w:rFonts w:ascii="Georgia" w:eastAsia="Georgia" w:hAnsi="Georgia" w:cs="Georgia"/>
                <w:sz w:val="21"/>
              </w:rPr>
              <w:t xml:space="preserve">To actively participate in at least 75% of LC assigned duties such as meeting and/or subcommittee participation </w:t>
            </w:r>
          </w:p>
          <w:p w14:paraId="22380322" w14:textId="77777777" w:rsidR="002B161A" w:rsidRPr="002B161A" w:rsidRDefault="002B161A" w:rsidP="002B161A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  <w:rPr>
                <w:rFonts w:ascii="Georgia" w:eastAsia="Georgia" w:hAnsi="Georgia" w:cs="Georgia"/>
                <w:sz w:val="21"/>
              </w:rPr>
            </w:pPr>
            <w:r>
              <w:rPr>
                <w:rFonts w:ascii="Georgia" w:eastAsia="Georgia" w:hAnsi="Georgia" w:cs="Georgia"/>
                <w:sz w:val="21"/>
              </w:rPr>
              <w:t xml:space="preserve">To be respectful, responsive and reliable when communicating with the LC, ST and CoP </w:t>
            </w:r>
          </w:p>
          <w:p w14:paraId="0A472D12" w14:textId="4351EBE7" w:rsidR="002B161A" w:rsidRDefault="002B161A" w:rsidP="002A1935">
            <w:pPr>
              <w:numPr>
                <w:ilvl w:val="0"/>
                <w:numId w:val="2"/>
              </w:numPr>
              <w:spacing w:before="60" w:after="60" w:line="235" w:lineRule="auto"/>
              <w:ind w:left="576" w:right="29" w:hanging="288"/>
            </w:pPr>
            <w:r>
              <w:rPr>
                <w:rFonts w:ascii="Georgia" w:eastAsia="Georgia" w:hAnsi="Georgia" w:cs="Georgia"/>
                <w:sz w:val="21"/>
              </w:rPr>
              <w:t xml:space="preserve">Time commitment of 8-12 hours per academic year  </w:t>
            </w:r>
            <w:r w:rsidRPr="002A1935"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44DF320C" w14:textId="69C80F6A" w:rsidR="00D66266" w:rsidRPr="00A66C8C" w:rsidRDefault="002B161A" w:rsidP="004C7847">
            <w:pPr>
              <w:spacing w:before="120" w:after="60" w:line="269" w:lineRule="auto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</w:rPr>
              <w:t>In the event that a committee member is not fulfilling the outlined expectations, a conversation regarding appropriateness of ongoing involvement will take place. Should extenuating circumstances preclude normal participation, consideration can be given to flexibility or temporary leave.</w:t>
            </w:r>
          </w:p>
        </w:tc>
      </w:tr>
      <w:tr w:rsidR="00A66C8C" w14:paraId="2F89E89E" w14:textId="77777777" w:rsidTr="00C933B7">
        <w:tc>
          <w:tcPr>
            <w:tcW w:w="2016" w:type="dxa"/>
            <w:shd w:val="clear" w:color="auto" w:fill="44B7B9"/>
          </w:tcPr>
          <w:p w14:paraId="43A6580C" w14:textId="3B4924C7" w:rsidR="00D66266" w:rsidRPr="00A66C8C" w:rsidRDefault="0051650A" w:rsidP="0051650A">
            <w:pPr>
              <w:spacing w:before="60" w:after="8" w:line="269" w:lineRule="auto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1"/>
              </w:rPr>
              <w:t>Nomination and selection process</w:t>
            </w:r>
          </w:p>
        </w:tc>
        <w:tc>
          <w:tcPr>
            <w:tcW w:w="7344" w:type="dxa"/>
          </w:tcPr>
          <w:p w14:paraId="7E33E082" w14:textId="77777777" w:rsidR="00D66266" w:rsidRDefault="0051650A" w:rsidP="004C7847">
            <w:pPr>
              <w:spacing w:before="60" w:after="60" w:line="269" w:lineRule="auto"/>
              <w:rPr>
                <w:rFonts w:ascii="Georgia" w:eastAsia="Georgia" w:hAnsi="Georgia" w:cs="Georgia"/>
                <w:sz w:val="21"/>
              </w:rPr>
            </w:pPr>
            <w:r>
              <w:rPr>
                <w:rFonts w:ascii="Georgia" w:eastAsia="Georgia" w:hAnsi="Georgia" w:cs="Georgia"/>
                <w:sz w:val="21"/>
              </w:rPr>
              <w:t>Interested individuals can be nominated by an existing LC/ST member or can self-nominate.</w:t>
            </w:r>
          </w:p>
          <w:p w14:paraId="5F8C9701" w14:textId="1BE25124" w:rsidR="0051650A" w:rsidRPr="00A66C8C" w:rsidRDefault="002A1935" w:rsidP="004C7847">
            <w:pPr>
              <w:spacing w:before="60" w:after="60" w:line="269" w:lineRule="auto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sz w:val="21"/>
              </w:rPr>
              <w:t>A selection committee (appointed annually) of current LC and ST members will be tasked with the responsibility of collecting and reviewing nominations, having a conversation with nominees and recommending candidates.</w:t>
            </w:r>
          </w:p>
        </w:tc>
      </w:tr>
    </w:tbl>
    <w:p w14:paraId="57E2A663" w14:textId="4C5FEEA5" w:rsidR="0075262C" w:rsidRDefault="009E2C61" w:rsidP="00D66266">
      <w:pPr>
        <w:spacing w:after="8" w:line="268" w:lineRule="auto"/>
      </w:pPr>
      <w:r w:rsidRPr="00D66266">
        <w:rPr>
          <w:rFonts w:ascii="Georgia" w:eastAsia="Georgia" w:hAnsi="Georgia" w:cs="Georgia"/>
        </w:rPr>
        <w:t xml:space="preserve"> </w:t>
      </w:r>
    </w:p>
    <w:p w14:paraId="2B083B42" w14:textId="7B69093C" w:rsidR="004C7847" w:rsidRDefault="004C7847">
      <w:pPr>
        <w:spacing w:after="0"/>
        <w:rPr>
          <w:rFonts w:ascii="Arial" w:eastAsia="Arial" w:hAnsi="Arial" w:cs="Arial"/>
          <w:sz w:val="21"/>
        </w:rPr>
      </w:pPr>
      <w:r>
        <w:rPr>
          <w:noProof/>
        </w:rPr>
        <w:lastRenderedPageBreak/>
        <w:drawing>
          <wp:inline distT="0" distB="0" distL="0" distR="0" wp14:anchorId="1B2E0329" wp14:editId="4F3BED93">
            <wp:extent cx="2175637" cy="614045"/>
            <wp:effectExtent l="0" t="0" r="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637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4746" w14:textId="5E7F014C" w:rsidR="00B754FB" w:rsidRDefault="00B754FB">
      <w:pPr>
        <w:spacing w:after="0"/>
        <w:rPr>
          <w:rFonts w:ascii="Arial" w:eastAsia="Arial" w:hAnsi="Arial" w:cs="Arial"/>
          <w:sz w:val="21"/>
        </w:rPr>
      </w:pPr>
    </w:p>
    <w:tbl>
      <w:tblPr>
        <w:tblStyle w:val="TableGrid0"/>
        <w:tblW w:w="9360" w:type="dxa"/>
        <w:tblLook w:val="04A0" w:firstRow="1" w:lastRow="0" w:firstColumn="1" w:lastColumn="0" w:noHBand="0" w:noVBand="1"/>
      </w:tblPr>
      <w:tblGrid>
        <w:gridCol w:w="2016"/>
        <w:gridCol w:w="7344"/>
      </w:tblGrid>
      <w:tr w:rsidR="00B754FB" w14:paraId="0665BA91" w14:textId="77777777" w:rsidTr="00B754FB">
        <w:tc>
          <w:tcPr>
            <w:tcW w:w="2016" w:type="dxa"/>
            <w:shd w:val="clear" w:color="auto" w:fill="44B7B9"/>
          </w:tcPr>
          <w:p w14:paraId="661BBF9C" w14:textId="70F94320" w:rsidR="00B754FB" w:rsidRDefault="006B5CB5" w:rsidP="006B5CB5">
            <w:pPr>
              <w:spacing w:before="60"/>
              <w:rPr>
                <w:rFonts w:ascii="Arial" w:eastAsia="Arial" w:hAnsi="Arial" w:cs="Arial"/>
                <w:sz w:val="21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1"/>
              </w:rPr>
              <w:t>Nomination and selection process (continued)</w:t>
            </w:r>
          </w:p>
        </w:tc>
        <w:tc>
          <w:tcPr>
            <w:tcW w:w="7344" w:type="dxa"/>
          </w:tcPr>
          <w:p w14:paraId="0B0A6E5E" w14:textId="241B91E2" w:rsidR="002717D1" w:rsidRDefault="002717D1" w:rsidP="008824DB">
            <w:pPr>
              <w:spacing w:before="60" w:after="11"/>
            </w:pPr>
            <w:r>
              <w:rPr>
                <w:rFonts w:ascii="Georgia" w:eastAsia="Georgia" w:hAnsi="Georgia" w:cs="Georgia"/>
                <w:sz w:val="21"/>
              </w:rPr>
              <w:t xml:space="preserve">The </w:t>
            </w:r>
            <w:r w:rsidR="006B5CB5">
              <w:rPr>
                <w:rFonts w:ascii="Georgia" w:eastAsia="Georgia" w:hAnsi="Georgia" w:cs="Georgia"/>
                <w:sz w:val="21"/>
              </w:rPr>
              <w:t xml:space="preserve">selection </w:t>
            </w:r>
            <w:r>
              <w:rPr>
                <w:rFonts w:ascii="Georgia" w:eastAsia="Georgia" w:hAnsi="Georgia" w:cs="Georgia"/>
                <w:sz w:val="21"/>
              </w:rPr>
              <w:t xml:space="preserve">committee’s recommendations will take into consideration the desire for: </w:t>
            </w:r>
          </w:p>
          <w:p w14:paraId="2A38BFC7" w14:textId="77777777" w:rsidR="002717D1" w:rsidRDefault="002717D1" w:rsidP="002717D1">
            <w:pPr>
              <w:numPr>
                <w:ilvl w:val="0"/>
                <w:numId w:val="5"/>
              </w:numPr>
              <w:spacing w:line="239" w:lineRule="auto"/>
              <w:ind w:hanging="360"/>
              <w:jc w:val="both"/>
            </w:pPr>
            <w:r>
              <w:rPr>
                <w:rFonts w:ascii="Georgia" w:eastAsia="Georgia" w:hAnsi="Georgia" w:cs="Georgia"/>
                <w:sz w:val="21"/>
              </w:rPr>
              <w:t xml:space="preserve">representation of CoP diversity across institutions (in type [e.g., university/college/technical institute], size, or situation [e.g., </w:t>
            </w:r>
          </w:p>
          <w:p w14:paraId="5E21EE89" w14:textId="77777777" w:rsidR="002717D1" w:rsidRDefault="002717D1" w:rsidP="002717D1">
            <w:pPr>
              <w:spacing w:after="6"/>
              <w:ind w:left="725"/>
            </w:pPr>
            <w:r>
              <w:rPr>
                <w:rFonts w:ascii="Georgia" w:eastAsia="Georgia" w:hAnsi="Georgia" w:cs="Georgia"/>
                <w:sz w:val="21"/>
              </w:rPr>
              <w:t xml:space="preserve">urban/rural; largely commuter/residential])  </w:t>
            </w:r>
          </w:p>
          <w:p w14:paraId="56C8F547" w14:textId="77777777" w:rsidR="002717D1" w:rsidRDefault="002717D1" w:rsidP="002717D1">
            <w:pPr>
              <w:numPr>
                <w:ilvl w:val="0"/>
                <w:numId w:val="5"/>
              </w:numPr>
              <w:spacing w:after="30"/>
              <w:ind w:hanging="360"/>
              <w:jc w:val="both"/>
            </w:pPr>
            <w:r>
              <w:rPr>
                <w:rFonts w:ascii="Georgia" w:eastAsia="Georgia" w:hAnsi="Georgia" w:cs="Georgia"/>
                <w:sz w:val="21"/>
              </w:rPr>
              <w:t xml:space="preserve">inclusion of CoP diversity among individual members (in sector [e.g., student/professional] or other aspects [e.g., gender, age, culture])   </w:t>
            </w:r>
          </w:p>
          <w:p w14:paraId="76769A21" w14:textId="77777777" w:rsidR="002717D1" w:rsidRDefault="002717D1" w:rsidP="002717D1">
            <w:pPr>
              <w:numPr>
                <w:ilvl w:val="0"/>
                <w:numId w:val="5"/>
              </w:numPr>
              <w:ind w:hanging="360"/>
              <w:jc w:val="both"/>
            </w:pPr>
            <w:r>
              <w:rPr>
                <w:rFonts w:ascii="Georgia" w:eastAsia="Georgia" w:hAnsi="Georgia" w:cs="Georgia"/>
                <w:sz w:val="21"/>
              </w:rPr>
              <w:t xml:space="preserve">both continuity and inclusion of new and varied perspectives                   </w:t>
            </w:r>
          </w:p>
          <w:p w14:paraId="48200944" w14:textId="1072D0A6" w:rsidR="00B754FB" w:rsidRPr="00B679A5" w:rsidRDefault="002717D1" w:rsidP="00B679A5">
            <w:pPr>
              <w:spacing w:before="120" w:after="60"/>
            </w:pPr>
            <w:r>
              <w:rPr>
                <w:rFonts w:ascii="Georgia" w:eastAsia="Georgia" w:hAnsi="Georgia" w:cs="Georgia"/>
                <w:sz w:val="21"/>
              </w:rPr>
              <w:t>After receiving the recommendations from the selection committee, the LC and ST together will move or vote to induct successful candidates, ensuring the LC is of effective size and makeup.</w:t>
            </w:r>
          </w:p>
          <w:p w14:paraId="7F00C350" w14:textId="77777777" w:rsidR="002717D1" w:rsidRDefault="002717D1" w:rsidP="00B679A5">
            <w:pPr>
              <w:spacing w:before="120" w:afterLines="60" w:after="144"/>
            </w:pPr>
            <w:r>
              <w:rPr>
                <w:rFonts w:ascii="Georgia" w:eastAsia="Georgia" w:hAnsi="Georgia" w:cs="Georgia"/>
                <w:sz w:val="21"/>
              </w:rPr>
              <w:t xml:space="preserve">Professionals:  </w:t>
            </w:r>
          </w:p>
          <w:p w14:paraId="2DC34BCC" w14:textId="77777777" w:rsidR="002717D1" w:rsidRPr="002717D1" w:rsidRDefault="002717D1" w:rsidP="00B679A5">
            <w:pPr>
              <w:numPr>
                <w:ilvl w:val="0"/>
                <w:numId w:val="5"/>
              </w:numPr>
              <w:spacing w:before="60" w:afterLines="60" w:after="144" w:line="239" w:lineRule="auto"/>
              <w:ind w:hanging="360"/>
              <w:rPr>
                <w:rFonts w:ascii="Georgia" w:eastAsia="Georgia" w:hAnsi="Georgia" w:cs="Georgia"/>
                <w:sz w:val="21"/>
              </w:rPr>
            </w:pPr>
            <w:r w:rsidRPr="002717D1">
              <w:rPr>
                <w:rFonts w:ascii="Georgia" w:eastAsia="Georgia" w:hAnsi="Georgia" w:cs="Georgia"/>
                <w:sz w:val="21"/>
              </w:rPr>
              <w:t>Selected on the grounds of being committed members of the CoP, known for their prior contributions, and having demonstrated an interest in and knowledge of health promotion</w:t>
            </w:r>
          </w:p>
          <w:p w14:paraId="4747167B" w14:textId="57EF803B" w:rsidR="002717D1" w:rsidRDefault="00E538C2" w:rsidP="008824DB">
            <w:pPr>
              <w:spacing w:afterLines="60" w:after="144"/>
              <w:ind w:left="5"/>
            </w:pPr>
            <w:r>
              <w:rPr>
                <w:rFonts w:ascii="Georgia" w:eastAsia="Georgia" w:hAnsi="Georgia" w:cs="Georgia"/>
                <w:sz w:val="21"/>
              </w:rPr>
              <w:t>Student</w:t>
            </w:r>
            <w:r w:rsidR="002717D1">
              <w:rPr>
                <w:rFonts w:ascii="Georgia" w:eastAsia="Georgia" w:hAnsi="Georgia" w:cs="Georgia"/>
                <w:sz w:val="21"/>
              </w:rPr>
              <w:t xml:space="preserve">s:  </w:t>
            </w:r>
          </w:p>
          <w:p w14:paraId="5192C393" w14:textId="05270936" w:rsidR="002717D1" w:rsidRPr="00E538C2" w:rsidRDefault="002717D1" w:rsidP="00C8715E">
            <w:pPr>
              <w:numPr>
                <w:ilvl w:val="0"/>
                <w:numId w:val="5"/>
              </w:numPr>
              <w:spacing w:after="60"/>
              <w:ind w:left="720" w:hanging="360"/>
              <w:rPr>
                <w:rFonts w:ascii="Arial" w:eastAsia="Arial" w:hAnsi="Arial" w:cs="Arial"/>
                <w:sz w:val="21"/>
              </w:rPr>
            </w:pPr>
            <w:r w:rsidRPr="00E538C2">
              <w:rPr>
                <w:rFonts w:ascii="Georgia" w:eastAsia="Georgia" w:hAnsi="Georgia" w:cs="Georgia"/>
                <w:sz w:val="21"/>
              </w:rPr>
              <w:t xml:space="preserve">Selected on the grounds of </w:t>
            </w:r>
            <w:r w:rsidR="00E538C2">
              <w:rPr>
                <w:rFonts w:ascii="Georgia" w:eastAsia="Georgia" w:hAnsi="Georgia" w:cs="Georgia"/>
                <w:sz w:val="21"/>
              </w:rPr>
              <w:t>their enthusiasm for and knowledge of health promotion, and other relevant and demonstrated skills, expertise or networks</w:t>
            </w:r>
          </w:p>
        </w:tc>
      </w:tr>
      <w:tr w:rsidR="00B754FB" w14:paraId="1771FB1A" w14:textId="77777777" w:rsidTr="00B754FB">
        <w:tc>
          <w:tcPr>
            <w:tcW w:w="2016" w:type="dxa"/>
            <w:shd w:val="clear" w:color="auto" w:fill="44B7B9"/>
          </w:tcPr>
          <w:p w14:paraId="07B31031" w14:textId="061FCD50" w:rsidR="00B754FB" w:rsidRPr="00212331" w:rsidRDefault="005C499F" w:rsidP="00212331">
            <w:pPr>
              <w:spacing w:before="60"/>
              <w:rPr>
                <w:rFonts w:ascii="Arial" w:eastAsia="Arial" w:hAnsi="Arial" w:cs="Arial"/>
                <w:b/>
                <w:bCs/>
                <w:sz w:val="21"/>
              </w:rPr>
            </w:pPr>
            <w:r w:rsidRPr="00212331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</w:rPr>
              <w:t>Tenure</w:t>
            </w:r>
          </w:p>
        </w:tc>
        <w:tc>
          <w:tcPr>
            <w:tcW w:w="7344" w:type="dxa"/>
          </w:tcPr>
          <w:p w14:paraId="27973E2B" w14:textId="13D71C0B" w:rsidR="00E23648" w:rsidRPr="003512D1" w:rsidRDefault="00E23648" w:rsidP="003512D1">
            <w:pPr>
              <w:spacing w:before="120" w:afterLines="60" w:after="144"/>
              <w:rPr>
                <w:rFonts w:ascii="Georgia" w:eastAsia="Georgia" w:hAnsi="Georgia" w:cs="Georgia"/>
                <w:sz w:val="21"/>
              </w:rPr>
            </w:pPr>
            <w:r>
              <w:rPr>
                <w:rFonts w:ascii="Georgia" w:eastAsia="Georgia" w:hAnsi="Georgia" w:cs="Georgia"/>
                <w:sz w:val="21"/>
              </w:rPr>
              <w:t xml:space="preserve">Professionals: </w:t>
            </w:r>
          </w:p>
          <w:p w14:paraId="7038C9F7" w14:textId="4B2831E4" w:rsidR="00E23648" w:rsidRPr="003512D1" w:rsidRDefault="00E23648" w:rsidP="003512D1">
            <w:pPr>
              <w:numPr>
                <w:ilvl w:val="0"/>
                <w:numId w:val="6"/>
              </w:numPr>
              <w:spacing w:after="15"/>
              <w:ind w:hanging="360"/>
              <w:rPr>
                <w:rFonts w:ascii="Georgia" w:eastAsia="Georgia" w:hAnsi="Georgia" w:cs="Georgia"/>
                <w:sz w:val="21"/>
              </w:rPr>
            </w:pPr>
            <w:r w:rsidRPr="003512D1">
              <w:rPr>
                <w:rFonts w:ascii="Georgia" w:eastAsia="Georgia" w:hAnsi="Georgia" w:cs="Georgia"/>
                <w:sz w:val="21"/>
              </w:rPr>
              <w:t>2-year terms, renewable to a maximum of 6 consecutive years</w:t>
            </w:r>
          </w:p>
          <w:p w14:paraId="6D0C132C" w14:textId="33C5485E" w:rsidR="003D5BB9" w:rsidRDefault="003D5BB9" w:rsidP="003512D1">
            <w:pPr>
              <w:spacing w:before="120" w:after="120"/>
            </w:pPr>
            <w:r>
              <w:rPr>
                <w:rFonts w:ascii="Georgia" w:eastAsia="Georgia" w:hAnsi="Georgia" w:cs="Georgia"/>
                <w:sz w:val="21"/>
              </w:rPr>
              <w:t xml:space="preserve">Students: </w:t>
            </w:r>
          </w:p>
          <w:p w14:paraId="0659E5F7" w14:textId="09F34CD7" w:rsidR="003D5BB9" w:rsidRPr="003D5BB9" w:rsidRDefault="003D5BB9" w:rsidP="003D5BB9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rFonts w:ascii="Georgia" w:eastAsia="Georgia" w:hAnsi="Georgia" w:cs="Georgia"/>
                <w:sz w:val="21"/>
              </w:rPr>
              <w:t>1</w:t>
            </w:r>
            <w:r w:rsidR="00E23648">
              <w:rPr>
                <w:rFonts w:ascii="Georgia" w:eastAsia="Georgia" w:hAnsi="Georgia" w:cs="Georgia"/>
                <w:sz w:val="21"/>
              </w:rPr>
              <w:t>-</w:t>
            </w:r>
            <w:r>
              <w:rPr>
                <w:rFonts w:ascii="Georgia" w:eastAsia="Georgia" w:hAnsi="Georgia" w:cs="Georgia"/>
                <w:sz w:val="21"/>
              </w:rPr>
              <w:t>year terms, renewable to a maximum of 4 consecutive years</w:t>
            </w:r>
          </w:p>
          <w:p w14:paraId="7B80CE29" w14:textId="73C1B367" w:rsidR="003D5BB9" w:rsidRPr="003D5BB9" w:rsidRDefault="003D5BB9" w:rsidP="0001284F">
            <w:pPr>
              <w:numPr>
                <w:ilvl w:val="0"/>
                <w:numId w:val="6"/>
              </w:numPr>
              <w:spacing w:after="60"/>
              <w:ind w:left="720" w:hanging="360"/>
            </w:pPr>
            <w:r>
              <w:rPr>
                <w:rFonts w:ascii="Georgia" w:eastAsia="Georgia" w:hAnsi="Georgia" w:cs="Georgia"/>
                <w:sz w:val="21"/>
              </w:rPr>
              <w:t>will be compensated up to $100 for their involvement per academic year after at least 6 hours of participation</w:t>
            </w:r>
          </w:p>
        </w:tc>
      </w:tr>
      <w:tr w:rsidR="00B754FB" w14:paraId="677414FA" w14:textId="77777777" w:rsidTr="00B754FB">
        <w:tc>
          <w:tcPr>
            <w:tcW w:w="2016" w:type="dxa"/>
            <w:shd w:val="clear" w:color="auto" w:fill="44B7B9"/>
          </w:tcPr>
          <w:p w14:paraId="0ABABFD5" w14:textId="3B36E60E" w:rsidR="00B754FB" w:rsidRPr="00212331" w:rsidRDefault="00E23648" w:rsidP="00212331">
            <w:pPr>
              <w:spacing w:before="60"/>
              <w:rPr>
                <w:rFonts w:ascii="Arial" w:eastAsia="Arial" w:hAnsi="Arial" w:cs="Arial"/>
                <w:b/>
                <w:bCs/>
                <w:sz w:val="21"/>
              </w:rPr>
            </w:pPr>
            <w:r w:rsidRPr="00212331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</w:rPr>
              <w:t>Meetings</w:t>
            </w:r>
          </w:p>
        </w:tc>
        <w:tc>
          <w:tcPr>
            <w:tcW w:w="7344" w:type="dxa"/>
          </w:tcPr>
          <w:p w14:paraId="60528625" w14:textId="752C2ABA" w:rsidR="00E23648" w:rsidRDefault="00E23648" w:rsidP="00A64426">
            <w:pPr>
              <w:numPr>
                <w:ilvl w:val="0"/>
                <w:numId w:val="7"/>
              </w:numPr>
              <w:spacing w:before="60" w:after="23" w:line="242" w:lineRule="auto"/>
              <w:ind w:left="720" w:hanging="360"/>
            </w:pPr>
            <w:r>
              <w:rPr>
                <w:rFonts w:ascii="Georgia" w:eastAsia="Georgia" w:hAnsi="Georgia" w:cs="Georgia"/>
                <w:sz w:val="21"/>
              </w:rPr>
              <w:t xml:space="preserve">Meetings will be scheduled 4x a year and will be 2 hours in duration with dates </w:t>
            </w:r>
            <w:r w:rsidR="009E2C61">
              <w:rPr>
                <w:rFonts w:ascii="Georgia" w:eastAsia="Georgia" w:hAnsi="Georgia" w:cs="Georgia"/>
                <w:sz w:val="21"/>
              </w:rPr>
              <w:t xml:space="preserve">preferably </w:t>
            </w:r>
            <w:r>
              <w:rPr>
                <w:rFonts w:ascii="Georgia" w:eastAsia="Georgia" w:hAnsi="Georgia" w:cs="Georgia"/>
                <w:sz w:val="21"/>
              </w:rPr>
              <w:t xml:space="preserve">scheduled for the full year at the beginning of the academic year </w:t>
            </w:r>
          </w:p>
          <w:p w14:paraId="34180BD7" w14:textId="555C0F97" w:rsidR="00E23648" w:rsidRPr="00E23648" w:rsidRDefault="00E23648" w:rsidP="00E23648">
            <w:pPr>
              <w:numPr>
                <w:ilvl w:val="0"/>
                <w:numId w:val="7"/>
              </w:numPr>
              <w:spacing w:after="26" w:line="244" w:lineRule="auto"/>
              <w:ind w:hanging="360"/>
            </w:pPr>
            <w:r>
              <w:rPr>
                <w:rFonts w:ascii="Georgia" w:eastAsia="Georgia" w:hAnsi="Georgia" w:cs="Georgia"/>
                <w:sz w:val="21"/>
              </w:rPr>
              <w:t xml:space="preserve">The meetings </w:t>
            </w:r>
            <w:r w:rsidR="009E2C61">
              <w:rPr>
                <w:rFonts w:ascii="Georgia" w:eastAsia="Georgia" w:hAnsi="Georgia" w:cs="Georgia"/>
                <w:sz w:val="21"/>
              </w:rPr>
              <w:t>may</w:t>
            </w:r>
            <w:r>
              <w:rPr>
                <w:rFonts w:ascii="Georgia" w:eastAsia="Georgia" w:hAnsi="Georgia" w:cs="Georgia"/>
                <w:sz w:val="21"/>
              </w:rPr>
              <w:t xml:space="preserve"> have a mixed arrangement of in-person and remote attendees</w:t>
            </w:r>
          </w:p>
          <w:p w14:paraId="395E0860" w14:textId="16B63250" w:rsidR="00B754FB" w:rsidRPr="00E23648" w:rsidRDefault="00E23648" w:rsidP="00C8715E">
            <w:pPr>
              <w:numPr>
                <w:ilvl w:val="0"/>
                <w:numId w:val="7"/>
              </w:numPr>
              <w:spacing w:after="60" w:line="245" w:lineRule="auto"/>
              <w:ind w:left="720" w:hanging="360"/>
            </w:pPr>
            <w:r>
              <w:rPr>
                <w:rFonts w:ascii="Georgia" w:eastAsia="Georgia" w:hAnsi="Georgia" w:cs="Georgia"/>
                <w:sz w:val="21"/>
              </w:rPr>
              <w:t>Additional sub-committee meetings may also come into play for LC members</w:t>
            </w:r>
          </w:p>
        </w:tc>
      </w:tr>
      <w:tr w:rsidR="00B754FB" w14:paraId="3A5C20AB" w14:textId="77777777" w:rsidTr="00B754FB">
        <w:tc>
          <w:tcPr>
            <w:tcW w:w="2016" w:type="dxa"/>
            <w:shd w:val="clear" w:color="auto" w:fill="44B7B9"/>
          </w:tcPr>
          <w:p w14:paraId="6B55AD4F" w14:textId="2AF7443E" w:rsidR="00B754FB" w:rsidRPr="00212331" w:rsidRDefault="00E23648" w:rsidP="00212331">
            <w:pPr>
              <w:spacing w:before="60"/>
              <w:rPr>
                <w:rFonts w:ascii="Arial" w:eastAsia="Arial" w:hAnsi="Arial" w:cs="Arial"/>
                <w:b/>
                <w:bCs/>
                <w:sz w:val="21"/>
              </w:rPr>
            </w:pPr>
            <w:r w:rsidRPr="00212331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</w:rPr>
              <w:t>Roles</w:t>
            </w:r>
          </w:p>
        </w:tc>
        <w:tc>
          <w:tcPr>
            <w:tcW w:w="7344" w:type="dxa"/>
          </w:tcPr>
          <w:p w14:paraId="50E69E84" w14:textId="209F657A" w:rsidR="00B754FB" w:rsidRPr="007E0C6A" w:rsidRDefault="00014BC7" w:rsidP="007F3074">
            <w:pPr>
              <w:numPr>
                <w:ilvl w:val="0"/>
                <w:numId w:val="7"/>
              </w:numPr>
              <w:spacing w:before="60" w:after="60" w:line="245" w:lineRule="auto"/>
              <w:ind w:left="720" w:hanging="360"/>
              <w:rPr>
                <w:rFonts w:ascii="Arial" w:eastAsia="Arial" w:hAnsi="Arial" w:cs="Arial"/>
                <w:sz w:val="21"/>
              </w:rPr>
            </w:pPr>
            <w:r>
              <w:rPr>
                <w:rFonts w:ascii="Georgia" w:eastAsia="Georgia" w:hAnsi="Georgia" w:cs="Georgia"/>
                <w:sz w:val="21"/>
              </w:rPr>
              <w:t xml:space="preserve">The </w:t>
            </w:r>
            <w:r w:rsidR="007E0C6A" w:rsidRPr="007E0C6A">
              <w:rPr>
                <w:rFonts w:ascii="Georgia" w:eastAsia="Georgia" w:hAnsi="Georgia" w:cs="Georgia"/>
                <w:sz w:val="21"/>
              </w:rPr>
              <w:t>LC will appoint from among its members those who will serve in some particular capacity (e.g., facilitator, co-facilitator) during meetings and in other LC-related duties</w:t>
            </w:r>
          </w:p>
        </w:tc>
      </w:tr>
    </w:tbl>
    <w:p w14:paraId="4961BBA4" w14:textId="77777777" w:rsidR="00B754FB" w:rsidRDefault="00B754FB">
      <w:pPr>
        <w:spacing w:after="0"/>
        <w:rPr>
          <w:rFonts w:ascii="Arial" w:eastAsia="Arial" w:hAnsi="Arial" w:cs="Arial"/>
          <w:sz w:val="21"/>
        </w:rPr>
      </w:pPr>
    </w:p>
    <w:p w14:paraId="0DB78A29" w14:textId="77777777" w:rsidR="007E0C6A" w:rsidRDefault="007E0C6A" w:rsidP="007E0C6A">
      <w:pPr>
        <w:spacing w:after="19"/>
      </w:pPr>
      <w:r>
        <w:rPr>
          <w:rFonts w:ascii="Arial" w:eastAsia="Arial" w:hAnsi="Arial" w:cs="Arial"/>
          <w:b/>
          <w:sz w:val="21"/>
        </w:rPr>
        <w:t xml:space="preserve">I have read and understood the Terms of Reference. </w:t>
      </w:r>
    </w:p>
    <w:p w14:paraId="12D88041" w14:textId="77777777" w:rsidR="00B7444D" w:rsidRDefault="00B7444D" w:rsidP="007E0C6A">
      <w:pPr>
        <w:spacing w:after="15"/>
        <w:rPr>
          <w:rFonts w:ascii="Arial" w:eastAsia="Arial" w:hAnsi="Arial" w:cs="Arial"/>
          <w:sz w:val="21"/>
        </w:rPr>
      </w:pPr>
    </w:p>
    <w:p w14:paraId="553BF19A" w14:textId="1303C63B" w:rsidR="007E0C6A" w:rsidRDefault="007E0C6A" w:rsidP="007E0C6A">
      <w:pPr>
        <w:spacing w:after="15"/>
      </w:pPr>
      <w:r>
        <w:rPr>
          <w:rFonts w:ascii="Arial" w:eastAsia="Arial" w:hAnsi="Arial" w:cs="Arial"/>
          <w:sz w:val="21"/>
        </w:rPr>
        <w:t xml:space="preserve"> </w:t>
      </w:r>
    </w:p>
    <w:p w14:paraId="4B76DF41" w14:textId="570A62F5" w:rsidR="007E0C6A" w:rsidRDefault="007E0C6A" w:rsidP="008309FD">
      <w:pPr>
        <w:spacing w:after="14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Name: </w:t>
      </w:r>
      <w:r w:rsidR="00FB30D2">
        <w:rPr>
          <w:rFonts w:ascii="Arial" w:eastAsia="Arial" w:hAnsi="Arial" w:cs="Arial"/>
          <w:sz w:val="21"/>
        </w:rPr>
        <w:t>________________________</w:t>
      </w:r>
      <w:r w:rsidR="00FB30D2">
        <w:rPr>
          <w:rFonts w:ascii="Arial" w:eastAsia="Arial" w:hAnsi="Arial" w:cs="Arial"/>
          <w:sz w:val="21"/>
        </w:rPr>
        <w:t xml:space="preserve">              Signature: _</w:t>
      </w:r>
      <w:r>
        <w:rPr>
          <w:rFonts w:ascii="Arial" w:eastAsia="Arial" w:hAnsi="Arial" w:cs="Arial"/>
          <w:sz w:val="21"/>
        </w:rPr>
        <w:t>______</w:t>
      </w:r>
      <w:r w:rsidR="00FB30D2">
        <w:rPr>
          <w:rFonts w:ascii="Arial" w:eastAsia="Arial" w:hAnsi="Arial" w:cs="Arial"/>
          <w:sz w:val="21"/>
        </w:rPr>
        <w:t>_________________</w:t>
      </w:r>
    </w:p>
    <w:p w14:paraId="2A5FAFBC" w14:textId="77777777" w:rsidR="007E0C6A" w:rsidRDefault="007E0C6A" w:rsidP="007E0C6A">
      <w:pPr>
        <w:spacing w:after="19"/>
      </w:pPr>
      <w:r>
        <w:rPr>
          <w:rFonts w:ascii="Arial" w:eastAsia="Arial" w:hAnsi="Arial" w:cs="Arial"/>
          <w:sz w:val="21"/>
        </w:rPr>
        <w:t xml:space="preserve"> </w:t>
      </w:r>
    </w:p>
    <w:p w14:paraId="33E58116" w14:textId="79B8B37D" w:rsidR="007E0C6A" w:rsidRDefault="007E0C6A" w:rsidP="007E0C6A">
      <w:pPr>
        <w:spacing w:after="414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Date: _________________________               Position: </w:t>
      </w:r>
      <w:r w:rsidR="00FB30D2">
        <w:rPr>
          <w:rFonts w:ascii="Arial" w:eastAsia="Arial" w:hAnsi="Arial" w:cs="Arial"/>
          <w:sz w:val="21"/>
        </w:rPr>
        <w:t xml:space="preserve"> </w:t>
      </w:r>
      <w:bookmarkStart w:id="0" w:name="_GoBack"/>
      <w:bookmarkEnd w:id="0"/>
      <w:r w:rsidR="00FB30D2">
        <w:rPr>
          <w:rFonts w:ascii="Arial" w:eastAsia="Arial" w:hAnsi="Arial" w:cs="Arial"/>
          <w:sz w:val="21"/>
        </w:rPr>
        <w:t>________________________</w:t>
      </w:r>
    </w:p>
    <w:p w14:paraId="40FAD974" w14:textId="72750031" w:rsidR="007E0C6A" w:rsidRDefault="007E0C6A">
      <w:pPr>
        <w:spacing w:after="0"/>
        <w:rPr>
          <w:rFonts w:ascii="Arial" w:eastAsia="Arial" w:hAnsi="Arial" w:cs="Arial"/>
          <w:sz w:val="21"/>
        </w:rPr>
      </w:pPr>
    </w:p>
    <w:sectPr w:rsidR="007E0C6A">
      <w:pgSz w:w="12240" w:h="15840"/>
      <w:pgMar w:top="720" w:right="1563" w:bottom="75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7A4"/>
    <w:multiLevelType w:val="hybridMultilevel"/>
    <w:tmpl w:val="3C529114"/>
    <w:lvl w:ilvl="0" w:tplc="253E0080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5C5792">
      <w:start w:val="1"/>
      <w:numFmt w:val="bullet"/>
      <w:lvlText w:val="o"/>
      <w:lvlJc w:val="left"/>
      <w:pPr>
        <w:ind w:left="15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D056CE">
      <w:start w:val="1"/>
      <w:numFmt w:val="bullet"/>
      <w:lvlText w:val="▪"/>
      <w:lvlJc w:val="left"/>
      <w:pPr>
        <w:ind w:left="22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7CEF92">
      <w:start w:val="1"/>
      <w:numFmt w:val="bullet"/>
      <w:lvlText w:val="•"/>
      <w:lvlJc w:val="left"/>
      <w:pPr>
        <w:ind w:left="29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CCA97E">
      <w:start w:val="1"/>
      <w:numFmt w:val="bullet"/>
      <w:lvlText w:val="o"/>
      <w:lvlJc w:val="left"/>
      <w:pPr>
        <w:ind w:left="37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3CEC50">
      <w:start w:val="1"/>
      <w:numFmt w:val="bullet"/>
      <w:lvlText w:val="▪"/>
      <w:lvlJc w:val="left"/>
      <w:pPr>
        <w:ind w:left="44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321E6E">
      <w:start w:val="1"/>
      <w:numFmt w:val="bullet"/>
      <w:lvlText w:val="•"/>
      <w:lvlJc w:val="left"/>
      <w:pPr>
        <w:ind w:left="51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C65680">
      <w:start w:val="1"/>
      <w:numFmt w:val="bullet"/>
      <w:lvlText w:val="o"/>
      <w:lvlJc w:val="left"/>
      <w:pPr>
        <w:ind w:left="58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4EC258">
      <w:start w:val="1"/>
      <w:numFmt w:val="bullet"/>
      <w:lvlText w:val="▪"/>
      <w:lvlJc w:val="left"/>
      <w:pPr>
        <w:ind w:left="65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D3962"/>
    <w:multiLevelType w:val="hybridMultilevel"/>
    <w:tmpl w:val="48041452"/>
    <w:lvl w:ilvl="0" w:tplc="07325ACE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00CEB8">
      <w:start w:val="1"/>
      <w:numFmt w:val="bullet"/>
      <w:lvlText w:val="o"/>
      <w:lvlJc w:val="left"/>
      <w:pPr>
        <w:ind w:left="15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3A04FE">
      <w:start w:val="1"/>
      <w:numFmt w:val="bullet"/>
      <w:lvlText w:val="▪"/>
      <w:lvlJc w:val="left"/>
      <w:pPr>
        <w:ind w:left="22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BABEE0">
      <w:start w:val="1"/>
      <w:numFmt w:val="bullet"/>
      <w:lvlText w:val="•"/>
      <w:lvlJc w:val="left"/>
      <w:pPr>
        <w:ind w:left="29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6CB3E6">
      <w:start w:val="1"/>
      <w:numFmt w:val="bullet"/>
      <w:lvlText w:val="o"/>
      <w:lvlJc w:val="left"/>
      <w:pPr>
        <w:ind w:left="37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F02A56">
      <w:start w:val="1"/>
      <w:numFmt w:val="bullet"/>
      <w:lvlText w:val="▪"/>
      <w:lvlJc w:val="left"/>
      <w:pPr>
        <w:ind w:left="44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F827CE">
      <w:start w:val="1"/>
      <w:numFmt w:val="bullet"/>
      <w:lvlText w:val="•"/>
      <w:lvlJc w:val="left"/>
      <w:pPr>
        <w:ind w:left="51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8AF920">
      <w:start w:val="1"/>
      <w:numFmt w:val="bullet"/>
      <w:lvlText w:val="o"/>
      <w:lvlJc w:val="left"/>
      <w:pPr>
        <w:ind w:left="58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D237EA">
      <w:start w:val="1"/>
      <w:numFmt w:val="bullet"/>
      <w:lvlText w:val="▪"/>
      <w:lvlJc w:val="left"/>
      <w:pPr>
        <w:ind w:left="65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7696E"/>
    <w:multiLevelType w:val="hybridMultilevel"/>
    <w:tmpl w:val="D1E6FE84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65179"/>
    <w:multiLevelType w:val="hybridMultilevel"/>
    <w:tmpl w:val="8BCEE4C8"/>
    <w:lvl w:ilvl="0" w:tplc="19E249E4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06D"/>
    <w:multiLevelType w:val="hybridMultilevel"/>
    <w:tmpl w:val="9258D62A"/>
    <w:lvl w:ilvl="0" w:tplc="AA306ECC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2EF082">
      <w:start w:val="1"/>
      <w:numFmt w:val="bullet"/>
      <w:lvlText w:val="o"/>
      <w:lvlJc w:val="left"/>
      <w:pPr>
        <w:ind w:left="15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F47884">
      <w:start w:val="1"/>
      <w:numFmt w:val="bullet"/>
      <w:lvlText w:val="▪"/>
      <w:lvlJc w:val="left"/>
      <w:pPr>
        <w:ind w:left="22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582084">
      <w:start w:val="1"/>
      <w:numFmt w:val="bullet"/>
      <w:lvlText w:val="•"/>
      <w:lvlJc w:val="left"/>
      <w:pPr>
        <w:ind w:left="29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C4EFD0">
      <w:start w:val="1"/>
      <w:numFmt w:val="bullet"/>
      <w:lvlText w:val="o"/>
      <w:lvlJc w:val="left"/>
      <w:pPr>
        <w:ind w:left="37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58D104">
      <w:start w:val="1"/>
      <w:numFmt w:val="bullet"/>
      <w:lvlText w:val="▪"/>
      <w:lvlJc w:val="left"/>
      <w:pPr>
        <w:ind w:left="44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64B264">
      <w:start w:val="1"/>
      <w:numFmt w:val="bullet"/>
      <w:lvlText w:val="•"/>
      <w:lvlJc w:val="left"/>
      <w:pPr>
        <w:ind w:left="51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A64790">
      <w:start w:val="1"/>
      <w:numFmt w:val="bullet"/>
      <w:lvlText w:val="o"/>
      <w:lvlJc w:val="left"/>
      <w:pPr>
        <w:ind w:left="58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2214F2">
      <w:start w:val="1"/>
      <w:numFmt w:val="bullet"/>
      <w:lvlText w:val="▪"/>
      <w:lvlJc w:val="left"/>
      <w:pPr>
        <w:ind w:left="65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41D78"/>
    <w:multiLevelType w:val="hybridMultilevel"/>
    <w:tmpl w:val="86A4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61A4"/>
    <w:multiLevelType w:val="hybridMultilevel"/>
    <w:tmpl w:val="12D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5521"/>
    <w:multiLevelType w:val="hybridMultilevel"/>
    <w:tmpl w:val="334EA1C0"/>
    <w:lvl w:ilvl="0" w:tplc="C198940C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50E66E">
      <w:start w:val="1"/>
      <w:numFmt w:val="bullet"/>
      <w:lvlText w:val="o"/>
      <w:lvlJc w:val="left"/>
      <w:pPr>
        <w:ind w:left="15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D496D8">
      <w:start w:val="1"/>
      <w:numFmt w:val="bullet"/>
      <w:lvlText w:val="▪"/>
      <w:lvlJc w:val="left"/>
      <w:pPr>
        <w:ind w:left="22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86C6A2">
      <w:start w:val="1"/>
      <w:numFmt w:val="bullet"/>
      <w:lvlText w:val="•"/>
      <w:lvlJc w:val="left"/>
      <w:pPr>
        <w:ind w:left="29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4E898E">
      <w:start w:val="1"/>
      <w:numFmt w:val="bullet"/>
      <w:lvlText w:val="o"/>
      <w:lvlJc w:val="left"/>
      <w:pPr>
        <w:ind w:left="37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964E8C">
      <w:start w:val="1"/>
      <w:numFmt w:val="bullet"/>
      <w:lvlText w:val="▪"/>
      <w:lvlJc w:val="left"/>
      <w:pPr>
        <w:ind w:left="44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B2A714">
      <w:start w:val="1"/>
      <w:numFmt w:val="bullet"/>
      <w:lvlText w:val="•"/>
      <w:lvlJc w:val="left"/>
      <w:pPr>
        <w:ind w:left="51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8426D0">
      <w:start w:val="1"/>
      <w:numFmt w:val="bullet"/>
      <w:lvlText w:val="o"/>
      <w:lvlJc w:val="left"/>
      <w:pPr>
        <w:ind w:left="58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FE4268">
      <w:start w:val="1"/>
      <w:numFmt w:val="bullet"/>
      <w:lvlText w:val="▪"/>
      <w:lvlJc w:val="left"/>
      <w:pPr>
        <w:ind w:left="65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78502D"/>
    <w:multiLevelType w:val="hybridMultilevel"/>
    <w:tmpl w:val="0F02441A"/>
    <w:lvl w:ilvl="0" w:tplc="113A285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CE4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021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872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C884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058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87F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284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2B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273B54"/>
    <w:multiLevelType w:val="hybridMultilevel"/>
    <w:tmpl w:val="9D50A138"/>
    <w:lvl w:ilvl="0" w:tplc="4CD2A396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B26BC0">
      <w:start w:val="1"/>
      <w:numFmt w:val="bullet"/>
      <w:lvlText w:val="o"/>
      <w:lvlJc w:val="left"/>
      <w:pPr>
        <w:ind w:left="15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5ED094">
      <w:start w:val="1"/>
      <w:numFmt w:val="bullet"/>
      <w:lvlText w:val="▪"/>
      <w:lvlJc w:val="left"/>
      <w:pPr>
        <w:ind w:left="22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520F84">
      <w:start w:val="1"/>
      <w:numFmt w:val="bullet"/>
      <w:lvlText w:val="•"/>
      <w:lvlJc w:val="left"/>
      <w:pPr>
        <w:ind w:left="29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0426DA">
      <w:start w:val="1"/>
      <w:numFmt w:val="bullet"/>
      <w:lvlText w:val="o"/>
      <w:lvlJc w:val="left"/>
      <w:pPr>
        <w:ind w:left="37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1870A4">
      <w:start w:val="1"/>
      <w:numFmt w:val="bullet"/>
      <w:lvlText w:val="▪"/>
      <w:lvlJc w:val="left"/>
      <w:pPr>
        <w:ind w:left="44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DA0B1E">
      <w:start w:val="1"/>
      <w:numFmt w:val="bullet"/>
      <w:lvlText w:val="•"/>
      <w:lvlJc w:val="left"/>
      <w:pPr>
        <w:ind w:left="51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28F452">
      <w:start w:val="1"/>
      <w:numFmt w:val="bullet"/>
      <w:lvlText w:val="o"/>
      <w:lvlJc w:val="left"/>
      <w:pPr>
        <w:ind w:left="58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E1DEA">
      <w:start w:val="1"/>
      <w:numFmt w:val="bullet"/>
      <w:lvlText w:val="▪"/>
      <w:lvlJc w:val="left"/>
      <w:pPr>
        <w:ind w:left="65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DE2655"/>
    <w:multiLevelType w:val="hybridMultilevel"/>
    <w:tmpl w:val="A7AE4ABE"/>
    <w:lvl w:ilvl="0" w:tplc="19E249E4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C152F"/>
    <w:multiLevelType w:val="hybridMultilevel"/>
    <w:tmpl w:val="B4909D88"/>
    <w:lvl w:ilvl="0" w:tplc="19E249E4">
      <w:start w:val="1"/>
      <w:numFmt w:val="bullet"/>
      <w:lvlText w:val="●"/>
      <w:lvlJc w:val="left"/>
      <w:pPr>
        <w:ind w:left="7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082C26">
      <w:start w:val="1"/>
      <w:numFmt w:val="bullet"/>
      <w:lvlText w:val="o"/>
      <w:lvlJc w:val="left"/>
      <w:pPr>
        <w:ind w:left="15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EA1DE4">
      <w:start w:val="1"/>
      <w:numFmt w:val="bullet"/>
      <w:lvlText w:val="▪"/>
      <w:lvlJc w:val="left"/>
      <w:pPr>
        <w:ind w:left="22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3261BA">
      <w:start w:val="1"/>
      <w:numFmt w:val="bullet"/>
      <w:lvlText w:val="•"/>
      <w:lvlJc w:val="left"/>
      <w:pPr>
        <w:ind w:left="29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2EEDAC">
      <w:start w:val="1"/>
      <w:numFmt w:val="bullet"/>
      <w:lvlText w:val="o"/>
      <w:lvlJc w:val="left"/>
      <w:pPr>
        <w:ind w:left="37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D00652">
      <w:start w:val="1"/>
      <w:numFmt w:val="bullet"/>
      <w:lvlText w:val="▪"/>
      <w:lvlJc w:val="left"/>
      <w:pPr>
        <w:ind w:left="44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6214E8">
      <w:start w:val="1"/>
      <w:numFmt w:val="bullet"/>
      <w:lvlText w:val="•"/>
      <w:lvlJc w:val="left"/>
      <w:pPr>
        <w:ind w:left="51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0663A8">
      <w:start w:val="1"/>
      <w:numFmt w:val="bullet"/>
      <w:lvlText w:val="o"/>
      <w:lvlJc w:val="left"/>
      <w:pPr>
        <w:ind w:left="58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286C74">
      <w:start w:val="1"/>
      <w:numFmt w:val="bullet"/>
      <w:lvlText w:val="▪"/>
      <w:lvlJc w:val="left"/>
      <w:pPr>
        <w:ind w:left="65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2C"/>
    <w:rsid w:val="0001284F"/>
    <w:rsid w:val="00014BC7"/>
    <w:rsid w:val="000B58F9"/>
    <w:rsid w:val="001E0EE7"/>
    <w:rsid w:val="00212331"/>
    <w:rsid w:val="00220656"/>
    <w:rsid w:val="002717D1"/>
    <w:rsid w:val="002A1935"/>
    <w:rsid w:val="002B161A"/>
    <w:rsid w:val="003512D1"/>
    <w:rsid w:val="003D5BB9"/>
    <w:rsid w:val="00411162"/>
    <w:rsid w:val="004C7847"/>
    <w:rsid w:val="0051650A"/>
    <w:rsid w:val="005C499F"/>
    <w:rsid w:val="005F1E3A"/>
    <w:rsid w:val="006B5CB5"/>
    <w:rsid w:val="0075262C"/>
    <w:rsid w:val="0078535D"/>
    <w:rsid w:val="007A59C7"/>
    <w:rsid w:val="007E0C6A"/>
    <w:rsid w:val="007F3074"/>
    <w:rsid w:val="008309FD"/>
    <w:rsid w:val="008824DB"/>
    <w:rsid w:val="008B3113"/>
    <w:rsid w:val="008C5FFD"/>
    <w:rsid w:val="008E6444"/>
    <w:rsid w:val="009D6737"/>
    <w:rsid w:val="009E2C61"/>
    <w:rsid w:val="00A64426"/>
    <w:rsid w:val="00A66C8C"/>
    <w:rsid w:val="00B06ED3"/>
    <w:rsid w:val="00B16A2F"/>
    <w:rsid w:val="00B31A3B"/>
    <w:rsid w:val="00B679A5"/>
    <w:rsid w:val="00B7444D"/>
    <w:rsid w:val="00B754FB"/>
    <w:rsid w:val="00C8715E"/>
    <w:rsid w:val="00C933B7"/>
    <w:rsid w:val="00D66266"/>
    <w:rsid w:val="00E23648"/>
    <w:rsid w:val="00E538C2"/>
    <w:rsid w:val="00EE3A37"/>
    <w:rsid w:val="00FA1590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62E5"/>
  <w15:docId w15:val="{7ADDED94-DB31-40FC-BC1F-8C4E961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6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7A1E0CFD254B995A84B75EA72B36" ma:contentTypeVersion="14" ma:contentTypeDescription="Create a new document." ma:contentTypeScope="" ma:versionID="05fe76ec8cf9d0c1a4576a84cb8e4379">
  <xsd:schema xmlns:xsd="http://www.w3.org/2001/XMLSchema" xmlns:xs="http://www.w3.org/2001/XMLSchema" xmlns:p="http://schemas.microsoft.com/office/2006/metadata/properties" xmlns:ns3="f29c6426-1e21-44b3-97e3-496e7b711b33" xmlns:ns4="6c99753c-3b27-4003-86cb-52018b5f73f3" targetNamespace="http://schemas.microsoft.com/office/2006/metadata/properties" ma:root="true" ma:fieldsID="ef0be84f66da1f7757e06fd264c08745" ns3:_="" ns4:_="">
    <xsd:import namespace="f29c6426-1e21-44b3-97e3-496e7b711b33"/>
    <xsd:import namespace="6c99753c-3b27-4003-86cb-52018b5f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426-1e21-44b3-97e3-496e7b71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753c-3b27-4003-86cb-52018b5f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24137-CBCC-4741-B078-06DB546C7A0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c99753c-3b27-4003-86cb-52018b5f73f3"/>
    <ds:schemaRef ds:uri="f29c6426-1e21-44b3-97e3-496e7b711b3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1470CD-CF81-46D3-8BB9-92EADF42D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F54E-1F19-448F-89FC-A946682C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6426-1e21-44b3-97e3-496e7b711b33"/>
    <ds:schemaRef ds:uri="6c99753c-3b27-4003-86cb-52018b5f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Reist</dc:creator>
  <cp:keywords/>
  <cp:lastModifiedBy>Mahboubeh Asgari</cp:lastModifiedBy>
  <cp:revision>3</cp:revision>
  <cp:lastPrinted>2022-03-24T02:31:00Z</cp:lastPrinted>
  <dcterms:created xsi:type="dcterms:W3CDTF">2023-06-05T18:36:00Z</dcterms:created>
  <dcterms:modified xsi:type="dcterms:W3CDTF">2023-06-05T18:37:00Z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0x01010074157A1E0CFD254B995A84B75EA72B36</vt:lpwstr>
  </property>
</Properties>
</file>